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A3" w:rsidRDefault="00A40EA3" w:rsidP="00A40EA3">
      <w:pPr>
        <w:jc w:val="center"/>
        <w:rPr>
          <w:rFonts w:ascii="Cambria" w:hAnsi="Cambria"/>
          <w:sz w:val="22"/>
          <w:szCs w:val="22"/>
        </w:rPr>
      </w:pPr>
      <w:r>
        <w:rPr>
          <w:rFonts w:ascii="Cambria" w:hAnsi="Cambria"/>
          <w:noProof/>
          <w:sz w:val="22"/>
          <w:szCs w:val="22"/>
        </w:rPr>
        <w:drawing>
          <wp:inline distT="0" distB="0" distL="0" distR="0" wp14:anchorId="3650C466" wp14:editId="538B559E">
            <wp:extent cx="1920240" cy="920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920750"/>
                    </a:xfrm>
                    <a:prstGeom prst="rect">
                      <a:avLst/>
                    </a:prstGeom>
                    <a:noFill/>
                  </pic:spPr>
                </pic:pic>
              </a:graphicData>
            </a:graphic>
          </wp:inline>
        </w:drawing>
      </w:r>
    </w:p>
    <w:p w:rsidR="00A40EA3" w:rsidRDefault="00A40EA3" w:rsidP="00A40EA3">
      <w:pPr>
        <w:rPr>
          <w:rFonts w:ascii="Cambria" w:hAnsi="Cambria" w:cs="Arial"/>
          <w:b/>
          <w:color w:val="000000"/>
          <w:sz w:val="22"/>
          <w:szCs w:val="22"/>
        </w:rPr>
      </w:pPr>
    </w:p>
    <w:p w:rsidR="00A40EA3" w:rsidRDefault="00A40EA3" w:rsidP="00A40EA3">
      <w:pPr>
        <w:jc w:val="center"/>
        <w:rPr>
          <w:rFonts w:ascii="Cambria" w:hAnsi="Cambria" w:cs="Arial"/>
          <w:b/>
          <w:color w:val="000000"/>
          <w:sz w:val="22"/>
          <w:szCs w:val="22"/>
        </w:rPr>
      </w:pPr>
      <w:r>
        <w:rPr>
          <w:rFonts w:ascii="Cambria" w:hAnsi="Cambria" w:cs="Arial"/>
          <w:b/>
          <w:color w:val="000000"/>
          <w:sz w:val="22"/>
          <w:szCs w:val="22"/>
        </w:rPr>
        <w:t>Respiratory Care Program Outcomes</w:t>
      </w:r>
    </w:p>
    <w:p w:rsidR="00A40EA3" w:rsidRDefault="00A40EA3" w:rsidP="00A40EA3">
      <w:pPr>
        <w:jc w:val="center"/>
        <w:rPr>
          <w:rFonts w:ascii="Cambria" w:hAnsi="Cambria" w:cs="Arial"/>
          <w:b/>
          <w:color w:val="000000"/>
          <w:sz w:val="22"/>
          <w:szCs w:val="22"/>
        </w:rPr>
      </w:pPr>
    </w:p>
    <w:tbl>
      <w:tblPr>
        <w:tblStyle w:val="TableGrid"/>
        <w:tblW w:w="0" w:type="auto"/>
        <w:tblLook w:val="04A0" w:firstRow="1" w:lastRow="0" w:firstColumn="1" w:lastColumn="0" w:noHBand="0" w:noVBand="1"/>
      </w:tblPr>
      <w:tblGrid>
        <w:gridCol w:w="1223"/>
        <w:gridCol w:w="1004"/>
        <w:gridCol w:w="1129"/>
        <w:gridCol w:w="1005"/>
        <w:gridCol w:w="1224"/>
        <w:gridCol w:w="1224"/>
        <w:gridCol w:w="1034"/>
        <w:gridCol w:w="1005"/>
        <w:gridCol w:w="1006"/>
        <w:gridCol w:w="1006"/>
        <w:gridCol w:w="1006"/>
        <w:gridCol w:w="1006"/>
        <w:gridCol w:w="1006"/>
      </w:tblGrid>
      <w:tr w:rsidR="00A40EA3" w:rsidTr="00E74514">
        <w:tc>
          <w:tcPr>
            <w:tcW w:w="1223" w:type="dxa"/>
          </w:tcPr>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Attrition</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(Threshold=</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40%;</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libri,Bold" w:hAnsi="Calibri,Bold" w:cs="Calibri,Bold"/>
                <w:b/>
                <w:bCs/>
                <w:sz w:val="16"/>
                <w:szCs w:val="16"/>
              </w:rPr>
              <w:t>Avg</w:t>
            </w:r>
            <w:proofErr w:type="spellEnd"/>
            <w:r w:rsidRPr="001F2BDC">
              <w:rPr>
                <w:rFonts w:ascii="Calibri,Bold" w:hAnsi="Calibri,Bold" w:cs="Calibri,Bold"/>
                <w:b/>
                <w:bCs/>
                <w:sz w:val="16"/>
                <w:szCs w:val="16"/>
              </w:rPr>
              <w:t xml:space="preserve"> =18.5%)</w:t>
            </w:r>
          </w:p>
        </w:tc>
        <w:tc>
          <w:tcPr>
            <w:tcW w:w="100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JP</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=84.3%)</w:t>
            </w:r>
          </w:p>
        </w:tc>
        <w:tc>
          <w:tcPr>
            <w:tcW w:w="1129" w:type="dxa"/>
          </w:tcPr>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CRT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Success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=92.5%)</w:t>
            </w:r>
          </w:p>
        </w:tc>
        <w:tc>
          <w:tcPr>
            <w:tcW w:w="1005"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RRT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Success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=72.7%)</w:t>
            </w:r>
          </w:p>
        </w:tc>
        <w:tc>
          <w:tcPr>
            <w:tcW w:w="122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Employer</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Satisfaction</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=97.8%)</w:t>
            </w:r>
          </w:p>
        </w:tc>
        <w:tc>
          <w:tcPr>
            <w:tcW w:w="122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Graduate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Satisfaction</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=98.7%)</w:t>
            </w:r>
          </w:p>
        </w:tc>
        <w:tc>
          <w:tcPr>
            <w:tcW w:w="103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On-Time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 Rate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w:t>
            </w:r>
            <w:proofErr w:type="spellStart"/>
            <w:r w:rsidRPr="001F2BDC">
              <w:rPr>
                <w:rFonts w:ascii="Cambria" w:hAnsi="Cambria" w:cs="Arial"/>
                <w:b/>
                <w:color w:val="000000"/>
                <w:sz w:val="16"/>
                <w:szCs w:val="16"/>
              </w:rPr>
              <w:t>Threshol</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d=70%;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=91.0%)</w:t>
            </w:r>
          </w:p>
        </w:tc>
        <w:tc>
          <w:tcPr>
            <w:tcW w:w="1005"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 Grads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2015 (National</w:t>
            </w:r>
          </w:p>
          <w:p w:rsidR="00A40EA3" w:rsidRPr="001F2BDC" w:rsidRDefault="00A40EA3" w:rsidP="00E74514">
            <w:pPr>
              <w:jc w:val="left"/>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=7)</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 Grads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2014</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 xml:space="preserve">(National </w:t>
            </w:r>
            <w:proofErr w:type="spellStart"/>
            <w:r w:rsidRPr="001F2BDC">
              <w:rPr>
                <w:rFonts w:ascii="Cambria" w:hAnsi="Cambria" w:cs="Arial"/>
                <w:b/>
                <w:color w:val="000000"/>
                <w:sz w:val="16"/>
                <w:szCs w:val="16"/>
              </w:rPr>
              <w:t>Avg</w:t>
            </w:r>
            <w:proofErr w:type="spellEnd"/>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=8)</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Grads 2013</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=6)</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2015</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=8</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2014</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Default="00A40EA3" w:rsidP="00E74514">
            <w:pPr>
              <w:rPr>
                <w:rFonts w:ascii="Cambria" w:hAnsi="Cambria" w:cs="Arial"/>
                <w:b/>
                <w:color w:val="000000"/>
                <w:sz w:val="22"/>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=7)</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2013</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Default="00A40EA3" w:rsidP="00E74514">
            <w:pPr>
              <w:rPr>
                <w:rFonts w:ascii="Cambria" w:hAnsi="Cambria" w:cs="Arial"/>
                <w:b/>
                <w:color w:val="000000"/>
                <w:sz w:val="22"/>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=6</w:t>
            </w:r>
            <w:r w:rsidRPr="001F2BDC">
              <w:rPr>
                <w:rFonts w:ascii="Cambria" w:hAnsi="Cambria" w:cs="Arial"/>
                <w:b/>
                <w:color w:val="000000"/>
                <w:sz w:val="22"/>
              </w:rPr>
              <w:t>)</w:t>
            </w:r>
          </w:p>
        </w:tc>
      </w:tr>
      <w:tr w:rsidR="00A40EA3" w:rsidTr="00E74514">
        <w:tc>
          <w:tcPr>
            <w:tcW w:w="1223" w:type="dxa"/>
          </w:tcPr>
          <w:p w:rsidR="00A40EA3" w:rsidRDefault="00A40EA3" w:rsidP="00E74514">
            <w:pPr>
              <w:rPr>
                <w:rFonts w:ascii="Cambria" w:hAnsi="Cambria" w:cs="Arial"/>
                <w:b/>
                <w:color w:val="000000"/>
                <w:sz w:val="22"/>
              </w:rPr>
            </w:pPr>
            <w:r>
              <w:rPr>
                <w:rFonts w:ascii="Cambria" w:hAnsi="Cambria" w:cs="Arial"/>
                <w:b/>
                <w:color w:val="000000"/>
                <w:sz w:val="22"/>
              </w:rPr>
              <w:t>3.2%</w:t>
            </w:r>
          </w:p>
        </w:tc>
        <w:tc>
          <w:tcPr>
            <w:tcW w:w="1004" w:type="dxa"/>
          </w:tcPr>
          <w:p w:rsidR="00A40EA3" w:rsidRDefault="00A40EA3" w:rsidP="00E74514">
            <w:pPr>
              <w:rPr>
                <w:rFonts w:ascii="Cambria" w:hAnsi="Cambria" w:cs="Arial"/>
                <w:b/>
                <w:color w:val="000000"/>
                <w:sz w:val="22"/>
              </w:rPr>
            </w:pPr>
            <w:r>
              <w:rPr>
                <w:rFonts w:ascii="Cambria" w:hAnsi="Cambria" w:cs="Arial"/>
                <w:b/>
                <w:color w:val="000000"/>
                <w:sz w:val="22"/>
              </w:rPr>
              <w:t>82.1%</w:t>
            </w:r>
          </w:p>
        </w:tc>
        <w:tc>
          <w:tcPr>
            <w:tcW w:w="1129" w:type="dxa"/>
          </w:tcPr>
          <w:p w:rsidR="00A40EA3" w:rsidRDefault="00A40EA3" w:rsidP="00E74514">
            <w:pPr>
              <w:rPr>
                <w:rFonts w:ascii="Cambria" w:hAnsi="Cambria" w:cs="Arial"/>
                <w:b/>
                <w:color w:val="000000"/>
                <w:sz w:val="22"/>
              </w:rPr>
            </w:pPr>
            <w:r>
              <w:rPr>
                <w:rFonts w:ascii="Cambria" w:hAnsi="Cambria" w:cs="Arial"/>
                <w:b/>
                <w:color w:val="000000"/>
                <w:sz w:val="22"/>
              </w:rPr>
              <w:t>94.9%</w:t>
            </w:r>
          </w:p>
        </w:tc>
        <w:tc>
          <w:tcPr>
            <w:tcW w:w="1005" w:type="dxa"/>
          </w:tcPr>
          <w:p w:rsidR="00A40EA3" w:rsidRDefault="00A40EA3" w:rsidP="00E74514">
            <w:pPr>
              <w:rPr>
                <w:rFonts w:ascii="Cambria" w:hAnsi="Cambria" w:cs="Arial"/>
                <w:b/>
                <w:color w:val="000000"/>
                <w:sz w:val="22"/>
              </w:rPr>
            </w:pPr>
            <w:r>
              <w:rPr>
                <w:rFonts w:ascii="Cambria" w:hAnsi="Cambria" w:cs="Arial"/>
                <w:b/>
                <w:color w:val="000000"/>
                <w:sz w:val="22"/>
              </w:rPr>
              <w:t>82.1%</w:t>
            </w:r>
          </w:p>
        </w:tc>
        <w:tc>
          <w:tcPr>
            <w:tcW w:w="1224" w:type="dxa"/>
          </w:tcPr>
          <w:p w:rsidR="00A40EA3" w:rsidRDefault="00A40EA3" w:rsidP="00E74514">
            <w:pPr>
              <w:rPr>
                <w:rFonts w:ascii="Cambria" w:hAnsi="Cambria" w:cs="Arial"/>
                <w:b/>
                <w:color w:val="000000"/>
                <w:sz w:val="22"/>
              </w:rPr>
            </w:pPr>
            <w:r>
              <w:rPr>
                <w:rFonts w:ascii="Cambria" w:hAnsi="Cambria" w:cs="Arial"/>
                <w:b/>
                <w:color w:val="000000"/>
                <w:sz w:val="22"/>
              </w:rPr>
              <w:t>100%</w:t>
            </w:r>
          </w:p>
        </w:tc>
        <w:tc>
          <w:tcPr>
            <w:tcW w:w="1224" w:type="dxa"/>
          </w:tcPr>
          <w:p w:rsidR="00A40EA3" w:rsidRDefault="00A40EA3" w:rsidP="00E74514">
            <w:pPr>
              <w:rPr>
                <w:rFonts w:ascii="Cambria" w:hAnsi="Cambria" w:cs="Arial"/>
                <w:b/>
                <w:color w:val="000000"/>
                <w:sz w:val="22"/>
              </w:rPr>
            </w:pPr>
            <w:r>
              <w:rPr>
                <w:rFonts w:ascii="Cambria" w:hAnsi="Cambria" w:cs="Arial"/>
                <w:b/>
                <w:color w:val="000000"/>
                <w:sz w:val="22"/>
              </w:rPr>
              <w:t>100%</w:t>
            </w:r>
          </w:p>
        </w:tc>
        <w:tc>
          <w:tcPr>
            <w:tcW w:w="1034" w:type="dxa"/>
          </w:tcPr>
          <w:p w:rsidR="00A40EA3" w:rsidRDefault="00A40EA3" w:rsidP="00E74514">
            <w:pPr>
              <w:rPr>
                <w:rFonts w:ascii="Cambria" w:hAnsi="Cambria" w:cs="Arial"/>
                <w:b/>
                <w:color w:val="000000"/>
                <w:sz w:val="22"/>
              </w:rPr>
            </w:pPr>
            <w:r>
              <w:rPr>
                <w:rFonts w:ascii="Cambria" w:hAnsi="Cambria" w:cs="Arial"/>
                <w:b/>
                <w:color w:val="000000"/>
                <w:sz w:val="22"/>
              </w:rPr>
              <w:t>92.5%</w:t>
            </w:r>
          </w:p>
        </w:tc>
        <w:tc>
          <w:tcPr>
            <w:tcW w:w="1005" w:type="dxa"/>
          </w:tcPr>
          <w:p w:rsidR="00A40EA3" w:rsidRDefault="00A40EA3" w:rsidP="00E74514">
            <w:pPr>
              <w:rPr>
                <w:rFonts w:ascii="Cambria" w:hAnsi="Cambria" w:cs="Arial"/>
                <w:b/>
                <w:color w:val="000000"/>
                <w:sz w:val="22"/>
              </w:rPr>
            </w:pPr>
            <w:r>
              <w:rPr>
                <w:rFonts w:ascii="Cambria" w:hAnsi="Cambria" w:cs="Arial"/>
                <w:b/>
                <w:color w:val="000000"/>
                <w:sz w:val="22"/>
              </w:rPr>
              <w:t>12</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15</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12</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4</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13</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14</w:t>
            </w:r>
          </w:p>
        </w:tc>
      </w:tr>
    </w:tbl>
    <w:p w:rsidR="00A40EA3" w:rsidRDefault="00A40EA3" w:rsidP="00A40EA3">
      <w:pPr>
        <w:rPr>
          <w:rFonts w:ascii="Cambria" w:hAnsi="Cambria" w:cs="Arial"/>
          <w:b/>
          <w:color w:val="000000"/>
          <w:sz w:val="22"/>
          <w:szCs w:val="22"/>
        </w:rPr>
      </w:pPr>
    </w:p>
    <w:p w:rsidR="00A40EA3" w:rsidRDefault="00A40EA3" w:rsidP="00A40EA3">
      <w:pPr>
        <w:rPr>
          <w:rFonts w:ascii="Cambria" w:hAnsi="Cambria" w:cs="Arial"/>
          <w:color w:val="000000"/>
          <w:sz w:val="22"/>
          <w:szCs w:val="22"/>
        </w:rPr>
      </w:pPr>
      <w:r>
        <w:rPr>
          <w:rFonts w:ascii="Cambria" w:hAnsi="Cambria" w:cs="Arial"/>
          <w:color w:val="000000"/>
          <w:sz w:val="22"/>
          <w:szCs w:val="22"/>
        </w:rPr>
        <w:t>The Columbus Technical College Respiratory Care program is accredited The Commission on Accreditation for Respiratory Care (CoARC).</w:t>
      </w:r>
    </w:p>
    <w:p w:rsidR="00A40EA3" w:rsidRDefault="00A40EA3" w:rsidP="00A40EA3">
      <w:pPr>
        <w:rPr>
          <w:rFonts w:ascii="Cambria" w:hAnsi="Cambria" w:cs="Arial"/>
          <w:color w:val="000000"/>
          <w:sz w:val="22"/>
          <w:szCs w:val="22"/>
        </w:rPr>
      </w:pPr>
      <w:r>
        <w:rPr>
          <w:rFonts w:ascii="Cambria" w:hAnsi="Cambria" w:cs="Arial"/>
          <w:color w:val="000000"/>
          <w:sz w:val="22"/>
          <w:szCs w:val="22"/>
        </w:rPr>
        <w:t xml:space="preserve"> (</w:t>
      </w:r>
      <w:hyperlink r:id="rId7" w:history="1">
        <w:r w:rsidRPr="004C44DA">
          <w:rPr>
            <w:rStyle w:val="Hyperlink"/>
            <w:rFonts w:ascii="Cambria" w:hAnsi="Cambria" w:cs="Arial"/>
            <w:sz w:val="22"/>
            <w:szCs w:val="22"/>
          </w:rPr>
          <w:t>www.coarc.com</w:t>
        </w:r>
      </w:hyperlink>
      <w:r>
        <w:rPr>
          <w:rFonts w:ascii="Cambria" w:hAnsi="Cambria" w:cs="Arial"/>
          <w:color w:val="000000"/>
          <w:sz w:val="22"/>
          <w:szCs w:val="22"/>
        </w:rPr>
        <w:t>)</w:t>
      </w:r>
    </w:p>
    <w:p w:rsidR="00A40EA3" w:rsidRPr="00B24013" w:rsidRDefault="00A40EA3" w:rsidP="00A40EA3">
      <w:pPr>
        <w:rPr>
          <w:rFonts w:ascii="Cambria" w:hAnsi="Cambria" w:cs="Arial"/>
          <w:color w:val="000000"/>
          <w:sz w:val="22"/>
          <w:szCs w:val="22"/>
        </w:rPr>
      </w:pPr>
      <w:r w:rsidRPr="00B24013">
        <w:rPr>
          <w:rFonts w:ascii="Cambria" w:hAnsi="Cambria" w:cs="Arial"/>
          <w:color w:val="000000"/>
          <w:sz w:val="22"/>
          <w:szCs w:val="22"/>
        </w:rPr>
        <w:t>1248 Harwood Road</w:t>
      </w:r>
    </w:p>
    <w:p w:rsidR="00A40EA3" w:rsidRPr="00B24013" w:rsidRDefault="00A40EA3" w:rsidP="00A40EA3">
      <w:pPr>
        <w:rPr>
          <w:rFonts w:ascii="Cambria" w:hAnsi="Cambria" w:cs="Arial"/>
          <w:color w:val="000000"/>
          <w:sz w:val="22"/>
          <w:szCs w:val="22"/>
        </w:rPr>
      </w:pPr>
      <w:r w:rsidRPr="00B24013">
        <w:rPr>
          <w:rFonts w:ascii="Cambria" w:hAnsi="Cambria" w:cs="Arial"/>
          <w:color w:val="000000"/>
          <w:sz w:val="22"/>
          <w:szCs w:val="22"/>
        </w:rPr>
        <w:t xml:space="preserve"> Bedford, Texas 76021-4244</w:t>
      </w:r>
    </w:p>
    <w:p w:rsidR="00A40EA3" w:rsidRDefault="00A40EA3" w:rsidP="00A40EA3">
      <w:pPr>
        <w:rPr>
          <w:rFonts w:ascii="Cambria" w:hAnsi="Cambria" w:cs="Arial"/>
          <w:color w:val="000000"/>
          <w:sz w:val="22"/>
          <w:szCs w:val="22"/>
        </w:rPr>
      </w:pPr>
      <w:r w:rsidRPr="00B24013">
        <w:rPr>
          <w:rFonts w:ascii="Cambria" w:hAnsi="Cambria" w:cs="Arial"/>
          <w:color w:val="000000"/>
          <w:sz w:val="22"/>
          <w:szCs w:val="22"/>
        </w:rPr>
        <w:t xml:space="preserve"> (817) 283-2835</w:t>
      </w:r>
    </w:p>
    <w:p w:rsidR="00A40EA3" w:rsidRDefault="00A40EA3" w:rsidP="00A40EA3">
      <w:pPr>
        <w:rPr>
          <w:rFonts w:ascii="Cambria" w:hAnsi="Cambria" w:cs="Arial"/>
          <w:color w:val="000000"/>
          <w:sz w:val="22"/>
          <w:szCs w:val="22"/>
        </w:rPr>
      </w:pPr>
    </w:p>
    <w:p w:rsidR="00A40EA3" w:rsidRDefault="00A40EA3" w:rsidP="00A40EA3">
      <w:pPr>
        <w:rPr>
          <w:rFonts w:ascii="Cambria" w:hAnsi="Cambria" w:cs="Arial"/>
          <w:color w:val="000000"/>
          <w:sz w:val="22"/>
          <w:szCs w:val="22"/>
        </w:rPr>
      </w:pPr>
      <w:r>
        <w:rPr>
          <w:rFonts w:ascii="Cambria" w:hAnsi="Cambria" w:cs="Arial"/>
          <w:color w:val="000000"/>
          <w:sz w:val="22"/>
          <w:szCs w:val="22"/>
        </w:rPr>
        <w:t xml:space="preserve">Programmatic Outcomes Data can be found on the </w:t>
      </w:r>
      <w:proofErr w:type="spellStart"/>
      <w:r>
        <w:rPr>
          <w:rFonts w:ascii="Cambria" w:hAnsi="Cambria" w:cs="Arial"/>
          <w:color w:val="000000"/>
          <w:sz w:val="22"/>
          <w:szCs w:val="22"/>
        </w:rPr>
        <w:t>CoARC</w:t>
      </w:r>
      <w:proofErr w:type="spellEnd"/>
      <w:r>
        <w:rPr>
          <w:rFonts w:ascii="Cambria" w:hAnsi="Cambria" w:cs="Arial"/>
          <w:color w:val="000000"/>
          <w:sz w:val="22"/>
          <w:szCs w:val="22"/>
        </w:rPr>
        <w:t xml:space="preserve"> webpage at </w:t>
      </w:r>
      <w:hyperlink r:id="rId8" w:history="1">
        <w:r w:rsidR="003E29D7">
          <w:rPr>
            <w:rStyle w:val="Hyperlink"/>
            <w:rFonts w:ascii="Segoe UI" w:hAnsi="Segoe UI" w:cs="Segoe UI"/>
            <w:sz w:val="20"/>
          </w:rPr>
          <w:t>http://www.coarc.com/Students/Programmatic-Outcome-Data.aspx</w:t>
        </w:r>
      </w:hyperlink>
    </w:p>
    <w:p w:rsidR="00A40EA3" w:rsidRDefault="00A40EA3" w:rsidP="00A40EA3">
      <w:pPr>
        <w:rPr>
          <w:rFonts w:ascii="Cambria" w:hAnsi="Cambria" w:cs="Arial"/>
          <w:color w:val="000000"/>
          <w:sz w:val="22"/>
          <w:szCs w:val="22"/>
        </w:rPr>
      </w:pPr>
      <w:bookmarkStart w:id="0" w:name="_GoBack"/>
      <w:bookmarkEnd w:id="0"/>
    </w:p>
    <w:p w:rsidR="00A40EA3" w:rsidRPr="00A40EA3" w:rsidRDefault="00A40EA3" w:rsidP="00A40EA3">
      <w:pPr>
        <w:widowControl w:val="0"/>
        <w:jc w:val="center"/>
        <w:rPr>
          <w:snapToGrid w:val="0"/>
        </w:rPr>
      </w:pPr>
      <w:r w:rsidRPr="00A40EA3">
        <w:rPr>
          <w:b/>
          <w:snapToGrid w:val="0"/>
        </w:rPr>
        <w:t>GOALS OF THE PROGRAM</w:t>
      </w:r>
    </w:p>
    <w:p w:rsidR="00A40EA3" w:rsidRPr="00A40EA3" w:rsidRDefault="00A40EA3" w:rsidP="00A40EA3">
      <w:pPr>
        <w:widowControl w:val="0"/>
        <w:ind w:firstLine="720"/>
        <w:rPr>
          <w:rFonts w:ascii="Cambria" w:hAnsi="Cambria"/>
          <w:snapToGrid w:val="0"/>
          <w:sz w:val="22"/>
          <w:szCs w:val="22"/>
        </w:rPr>
      </w:pPr>
      <w:r w:rsidRPr="00A40EA3">
        <w:rPr>
          <w:rFonts w:ascii="Cambria" w:hAnsi="Cambria"/>
          <w:snapToGrid w:val="0"/>
          <w:sz w:val="22"/>
          <w:szCs w:val="22"/>
        </w:rPr>
        <w:t>The Respiratory Care program in the Health Science division at Columbus Technical College has been developed to provide the curious, motivated student with a satisfying professional career in the health professions.</w:t>
      </w:r>
    </w:p>
    <w:p w:rsidR="00A40EA3" w:rsidRPr="00A40EA3" w:rsidRDefault="00A40EA3" w:rsidP="00A40EA3">
      <w:pPr>
        <w:widowControl w:val="0"/>
        <w:ind w:firstLine="720"/>
        <w:rPr>
          <w:rFonts w:ascii="Cambria" w:hAnsi="Cambria"/>
          <w:snapToGrid w:val="0"/>
          <w:sz w:val="22"/>
          <w:szCs w:val="22"/>
        </w:rPr>
      </w:pPr>
      <w:r w:rsidRPr="00A40EA3">
        <w:rPr>
          <w:rFonts w:ascii="Cambria" w:hAnsi="Cambria"/>
          <w:snapToGrid w:val="0"/>
          <w:sz w:val="22"/>
          <w:szCs w:val="22"/>
        </w:rPr>
        <w:t>Students will engage in seminars, intensive classroom and laboratory learning experiences, and training in the hospitals.  An integral part of this training will be the interaction with faculty, physicians, nurses, therapists and technicians, and patients.  The result is an outstanding education in Respiratory Care, as well as a sense of personal growth and a commitment to serving people.</w:t>
      </w:r>
    </w:p>
    <w:p w:rsidR="00A40EA3" w:rsidRPr="00A40EA3" w:rsidRDefault="00A40EA3" w:rsidP="00A40EA3">
      <w:pPr>
        <w:widowControl w:val="0"/>
        <w:ind w:firstLine="720"/>
        <w:rPr>
          <w:rFonts w:ascii="Cambria" w:hAnsi="Cambria"/>
          <w:snapToGrid w:val="0"/>
          <w:sz w:val="22"/>
          <w:szCs w:val="22"/>
        </w:rPr>
      </w:pPr>
      <w:r w:rsidRPr="00A40EA3">
        <w:rPr>
          <w:rFonts w:ascii="Cambria" w:hAnsi="Cambria"/>
          <w:snapToGrid w:val="0"/>
          <w:sz w:val="22"/>
          <w:szCs w:val="22"/>
        </w:rPr>
        <w:t>The purpose of the Respiratory Care program is to provide quality education that is relevant and consistent with the needs of the state, regional and national health care facilities. Inherent in this purpose is the goal to prepare Respiratory Care Practitioners who are competent in the knowledge to make decisions concerning the use and application of Respiratory Care modalities.</w:t>
      </w:r>
    </w:p>
    <w:p w:rsidR="00A40EA3" w:rsidRPr="00A40EA3" w:rsidRDefault="00A40EA3" w:rsidP="00A40EA3">
      <w:pPr>
        <w:rPr>
          <w:rFonts w:ascii="Cambria" w:hAnsi="Cambria" w:cs="Arial"/>
          <w:color w:val="000000"/>
          <w:sz w:val="22"/>
          <w:szCs w:val="22"/>
        </w:rPr>
      </w:pPr>
      <w:r w:rsidRPr="00A40EA3">
        <w:rPr>
          <w:rFonts w:ascii="Cambria" w:hAnsi="Cambria"/>
          <w:sz w:val="22"/>
          <w:szCs w:val="22"/>
        </w:rPr>
        <w:t>The Respiratory Care Department is dedicated to the mission and goals of Columbus Technical College.  The Respiratory Care program is designed to offer the student planned learning experiences and to provide knowledge, skills and attitudes that will prepare the graduate for successful employment as an entry and advanced level Respiratory Therapist.</w:t>
      </w:r>
    </w:p>
    <w:p w:rsidR="00B92256" w:rsidRDefault="00B92256" w:rsidP="00A40EA3">
      <w:pPr>
        <w:jc w:val="center"/>
      </w:pPr>
    </w:p>
    <w:sectPr w:rsidR="00B92256" w:rsidSect="001F2BDC">
      <w:headerReference w:type="default" r:id="rId9"/>
      <w:footerReference w:type="even" r:id="rId10"/>
      <w:footerReference w:type="default" r:id="rId11"/>
      <w:footerReference w:type="first" r:id="rId12"/>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A3" w:rsidRDefault="00A40EA3" w:rsidP="00A40EA3">
      <w:r>
        <w:separator/>
      </w:r>
    </w:p>
  </w:endnote>
  <w:endnote w:type="continuationSeparator" w:id="0">
    <w:p w:rsidR="00A40EA3" w:rsidRDefault="00A40EA3" w:rsidP="00A4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Default="00A40EA3" w:rsidP="008F1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16A" w:rsidRDefault="003E29D7" w:rsidP="008F1B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41" w:rsidRDefault="00A40EA3">
    <w:pPr>
      <w:pStyle w:val="Footer"/>
    </w:pPr>
    <w:r>
      <w:t xml:space="preserv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Pr="006F185F" w:rsidRDefault="003E29D7" w:rsidP="008F1B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A3" w:rsidRDefault="00A40EA3" w:rsidP="00A40EA3">
      <w:r>
        <w:separator/>
      </w:r>
    </w:p>
  </w:footnote>
  <w:footnote w:type="continuationSeparator" w:id="0">
    <w:p w:rsidR="00A40EA3" w:rsidRDefault="00A40EA3" w:rsidP="00A4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Default="003E29D7" w:rsidP="008F1B8B">
    <w:pPr>
      <w:rPr>
        <w:b/>
        <w:bCs/>
        <w:color w:val="000000"/>
        <w:szCs w:val="24"/>
      </w:rPr>
    </w:pPr>
  </w:p>
  <w:p w:rsidR="0098516A" w:rsidRPr="00F177C0" w:rsidRDefault="003E29D7">
    <w:pPr>
      <w:pStyle w:val="Header"/>
      <w:rPr>
        <w:rFonts w:ascii="Calibri" w:hAnsi="Calibr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Mze2tDAwMTG1MDBW0lEKTi0uzszPAykwrAUA4ixqpiwAAAA="/>
  </w:docVars>
  <w:rsids>
    <w:rsidRoot w:val="00A40EA3"/>
    <w:rsid w:val="003E29D7"/>
    <w:rsid w:val="00A40EA3"/>
    <w:rsid w:val="00B9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CEF9-27E2-4F9F-A49A-E2BDBD0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EA3"/>
    <w:pPr>
      <w:tabs>
        <w:tab w:val="center" w:pos="4320"/>
        <w:tab w:val="right" w:pos="8640"/>
      </w:tabs>
    </w:pPr>
  </w:style>
  <w:style w:type="character" w:customStyle="1" w:styleId="FooterChar">
    <w:name w:val="Footer Char"/>
    <w:basedOn w:val="DefaultParagraphFont"/>
    <w:link w:val="Footer"/>
    <w:rsid w:val="00A40EA3"/>
    <w:rPr>
      <w:rFonts w:ascii="Times New Roman" w:eastAsia="Times New Roman" w:hAnsi="Times New Roman" w:cs="Times New Roman"/>
      <w:sz w:val="24"/>
      <w:szCs w:val="20"/>
    </w:rPr>
  </w:style>
  <w:style w:type="character" w:styleId="PageNumber">
    <w:name w:val="page number"/>
    <w:basedOn w:val="DefaultParagraphFont"/>
    <w:rsid w:val="00A40EA3"/>
  </w:style>
  <w:style w:type="paragraph" w:styleId="Header">
    <w:name w:val="header"/>
    <w:basedOn w:val="Normal"/>
    <w:link w:val="HeaderChar"/>
    <w:rsid w:val="00A40EA3"/>
    <w:pPr>
      <w:tabs>
        <w:tab w:val="center" w:pos="4320"/>
        <w:tab w:val="right" w:pos="8640"/>
      </w:tabs>
    </w:pPr>
  </w:style>
  <w:style w:type="character" w:customStyle="1" w:styleId="HeaderChar">
    <w:name w:val="Header Char"/>
    <w:basedOn w:val="DefaultParagraphFont"/>
    <w:link w:val="Header"/>
    <w:rsid w:val="00A40EA3"/>
    <w:rPr>
      <w:rFonts w:ascii="Times New Roman" w:eastAsia="Times New Roman" w:hAnsi="Times New Roman" w:cs="Times New Roman"/>
      <w:sz w:val="24"/>
      <w:szCs w:val="20"/>
    </w:rPr>
  </w:style>
  <w:style w:type="character" w:styleId="Hyperlink">
    <w:name w:val="Hyperlink"/>
    <w:rsid w:val="00A40EA3"/>
    <w:rPr>
      <w:color w:val="0000FF"/>
      <w:u w:val="single"/>
    </w:rPr>
  </w:style>
  <w:style w:type="table" w:styleId="TableGrid">
    <w:name w:val="Table Grid"/>
    <w:basedOn w:val="TableNormal"/>
    <w:uiPriority w:val="59"/>
    <w:rsid w:val="00A40EA3"/>
    <w:pPr>
      <w:spacing w:after="0" w:line="240" w:lineRule="auto"/>
      <w:ind w:left="86"/>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rc.com/Students/Programmatic-Outcome-Data.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arc.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Mark</dc:creator>
  <cp:keywords/>
  <dc:description/>
  <cp:lastModifiedBy>Mehta, Megha</cp:lastModifiedBy>
  <cp:revision>2</cp:revision>
  <dcterms:created xsi:type="dcterms:W3CDTF">2018-02-12T22:23:00Z</dcterms:created>
  <dcterms:modified xsi:type="dcterms:W3CDTF">2018-05-16T18:04:00Z</dcterms:modified>
</cp:coreProperties>
</file>